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7" w:rsidRPr="00A36F97" w:rsidRDefault="00A36F97" w:rsidP="00A36F97">
      <w:pPr>
        <w:shd w:val="clear" w:color="auto" w:fill="FFFFFF"/>
        <w:spacing w:before="150" w:after="150"/>
        <w:outlineLvl w:val="3"/>
        <w:rPr>
          <w:rFonts w:ascii="Helvetica Neue" w:eastAsia="Times New Roman" w:hAnsi="Helvetica Neue" w:cs="Times New Roman"/>
          <w:color w:val="444444"/>
          <w:sz w:val="27"/>
          <w:szCs w:val="27"/>
          <w:lang w:val="en-CA"/>
        </w:rPr>
      </w:pPr>
      <w:r w:rsidRPr="00A36F97">
        <w:rPr>
          <w:rFonts w:ascii="Helvetica Neue" w:eastAsia="Times New Roman" w:hAnsi="Helvetica Neue" w:cs="Times New Roman"/>
          <w:color w:val="444444"/>
          <w:sz w:val="27"/>
          <w:szCs w:val="27"/>
          <w:lang w:val="en-CA"/>
        </w:rPr>
        <w:t>Steps In The IPRC Process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  <w:t>1.    Referral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Principals, teachers and parent/guardians may refer a child to an IPRC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If parent/guardians make a written request for an IPRC for their child principals must refer the child to the committee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It is appropriate to state the reason for requesting an IPRC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  <w:t>2.    Assessment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An educational assessment of the child must be obtained and is prepared by an educational team and will include both formal &amp; informal information gathered during the child's school years from both teachers and parent/guardians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The committee may obtain, with written parent/guardian permission, a health or psychological assessment of the child. Not all boards are willing to accept outside psychological assessments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 xml:space="preserve">ABC believes that parent/guardians should share any information with the </w:t>
      </w:r>
      <w:proofErr w:type="gramStart"/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school which may affect the determination of the committee</w:t>
      </w:r>
      <w:proofErr w:type="gramEnd"/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 xml:space="preserve"> and the school should do the same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Parents/guardians have the right to review the information in their child's OSR (Ontario School Record) at any time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  <w:t>3.     IPRC Meeting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The board establishes the date and location of the IPRC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Parents/guardians should be informed well in advance in order to make arrangements to attend. Parents/guardians should be able to request a more convenient time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The committee shall be made up of three persons, including a supervisor officer or principal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Parents/guardians should attend. Where appropriate, the child may be interviewed and/or included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Parents/guardians should be present for all of the discussions of their child and be part of the decision-making process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The IPRC decision, regarding identification and placement must be forwarded in writing to the parents/guardians and the principal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Prior to placement, the parents/guardians must give written consent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  <w:t>4.    Placement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"Placement in a special education setting must allow for a special education program and any special education services deemed necessary in meeting the identified needs of the exceptional pupil". (Special Education Information Handbook, 1984 p.52)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b/>
          <w:color w:val="444444"/>
          <w:sz w:val="21"/>
          <w:szCs w:val="21"/>
          <w:lang w:val="en-CA"/>
        </w:rPr>
        <w:t>5.    Review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At least once a year, the placement of each exceptional pupil will be reviewed by the IPRC. Parents/guardians must be advised in writing of any review and of the decision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A parent/guardian or the principal may request a Review by a Committee any time after a student has been in a placement for 3 months</w:t>
      </w:r>
    </w:p>
    <w:p w:rsidR="00A36F97" w:rsidRPr="00A36F97" w:rsidRDefault="00A36F97" w:rsidP="00A36F97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36F97">
        <w:rPr>
          <w:rFonts w:ascii="Helvetica Neue" w:hAnsi="Helvetica Neue" w:cs="Times New Roman"/>
          <w:color w:val="444444"/>
          <w:sz w:val="21"/>
          <w:szCs w:val="21"/>
          <w:lang w:val="en-CA"/>
        </w:rPr>
        <w:t>Placement of an exceptional child cannot be changed without prior notice in writing of the proposed change, a discussion between the IPRC and the parent/guardian and written consent of the parent/guardian</w:t>
      </w:r>
      <w:r>
        <w:rPr>
          <w:rFonts w:ascii="Helvetica Neue" w:hAnsi="Helvetica Neue" w:cs="Times New Roman"/>
          <w:color w:val="444444"/>
          <w:sz w:val="21"/>
          <w:szCs w:val="21"/>
          <w:lang w:val="en-CA"/>
        </w:rPr>
        <w:t>.</w:t>
      </w:r>
      <w:bookmarkStart w:id="0" w:name="_GoBack"/>
      <w:bookmarkEnd w:id="0"/>
    </w:p>
    <w:sectPr w:rsidR="00A36F97" w:rsidRPr="00A36F97" w:rsidSect="00A36F97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7"/>
    <w:rsid w:val="005064D7"/>
    <w:rsid w:val="00A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14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6F97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F97"/>
    <w:rPr>
      <w:rFonts w:ascii="Times" w:hAnsi="Times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A36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6F97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F97"/>
    <w:rPr>
      <w:rFonts w:ascii="Times" w:hAnsi="Times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A36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Macintosh Word</Application>
  <DocSecurity>0</DocSecurity>
  <Lines>18</Lines>
  <Paragraphs>5</Paragraphs>
  <ScaleCrop>false</ScaleCrop>
  <Company>Sage Idea Studio,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Hoar</dc:creator>
  <cp:keywords/>
  <dc:description/>
  <cp:lastModifiedBy>Bettina Hoar</cp:lastModifiedBy>
  <cp:revision>1</cp:revision>
  <dcterms:created xsi:type="dcterms:W3CDTF">2015-09-05T14:58:00Z</dcterms:created>
  <dcterms:modified xsi:type="dcterms:W3CDTF">2015-09-05T14:59:00Z</dcterms:modified>
</cp:coreProperties>
</file>